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329D" w14:textId="63D6A8D1" w:rsidR="00F10DB2" w:rsidRPr="00AE453D" w:rsidRDefault="00F10DB2" w:rsidP="00F10DB2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>How are agents in the NCI Formulary different</w:t>
      </w:r>
      <w:r w:rsidR="001D56C1">
        <w:rPr>
          <w:rFonts w:ascii="Arial" w:hAnsi="Arial" w:cs="Arial"/>
          <w:b/>
          <w:color w:val="000000" w:themeColor="text1"/>
          <w:szCs w:val="20"/>
        </w:rPr>
        <w:t xml:space="preserve"> from other NCI CRADA agents</w:t>
      </w:r>
      <w:r w:rsidRPr="00AE453D">
        <w:rPr>
          <w:rFonts w:ascii="Arial" w:hAnsi="Arial" w:cs="Arial"/>
          <w:b/>
          <w:color w:val="000000" w:themeColor="text1"/>
          <w:szCs w:val="20"/>
        </w:rPr>
        <w:t>?</w:t>
      </w:r>
    </w:p>
    <w:p w14:paraId="6F4FFE52" w14:textId="7F0C090D" w:rsidR="00F10DB2" w:rsidRPr="00AE453D" w:rsidRDefault="00AE453D" w:rsidP="00F10DB2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Agents will be provided under a separate CRADA for Formulary protocols. </w:t>
      </w:r>
      <w:r w:rsidR="00AB3589" w:rsidRPr="00AE453D">
        <w:rPr>
          <w:rFonts w:ascii="Arial" w:hAnsi="Arial" w:cs="Arial"/>
          <w:color w:val="000000" w:themeColor="text1"/>
          <w:szCs w:val="20"/>
        </w:rPr>
        <w:t xml:space="preserve">The IND </w:t>
      </w:r>
      <w:r>
        <w:rPr>
          <w:rFonts w:ascii="Arial" w:hAnsi="Arial" w:cs="Arial"/>
          <w:color w:val="000000" w:themeColor="text1"/>
          <w:szCs w:val="20"/>
        </w:rPr>
        <w:t xml:space="preserve">for the protocol </w:t>
      </w:r>
      <w:r w:rsidR="00AB3589" w:rsidRPr="00AE453D">
        <w:rPr>
          <w:rFonts w:ascii="Arial" w:hAnsi="Arial" w:cs="Arial"/>
          <w:color w:val="000000" w:themeColor="text1"/>
          <w:szCs w:val="20"/>
        </w:rPr>
        <w:t>is held by the investigator/institution conducting</w:t>
      </w:r>
      <w:r>
        <w:rPr>
          <w:rFonts w:ascii="Arial" w:hAnsi="Arial" w:cs="Arial"/>
          <w:color w:val="000000" w:themeColor="text1"/>
          <w:szCs w:val="20"/>
        </w:rPr>
        <w:t xml:space="preserve"> the study</w:t>
      </w:r>
      <w:r w:rsidR="00AB3589" w:rsidRPr="00AE453D">
        <w:rPr>
          <w:rFonts w:ascii="Arial" w:hAnsi="Arial" w:cs="Arial"/>
          <w:color w:val="000000" w:themeColor="text1"/>
          <w:szCs w:val="20"/>
        </w:rPr>
        <w:t xml:space="preserve">.  </w:t>
      </w:r>
    </w:p>
    <w:p w14:paraId="271D3C99" w14:textId="7446B0F1" w:rsidR="00F10DB2" w:rsidRDefault="00F10DB2" w:rsidP="00F10DB2">
      <w:pPr>
        <w:rPr>
          <w:rFonts w:ascii="Arial" w:hAnsi="Arial" w:cs="Arial"/>
          <w:b/>
          <w:color w:val="000000" w:themeColor="text1"/>
          <w:szCs w:val="20"/>
        </w:rPr>
      </w:pPr>
    </w:p>
    <w:p w14:paraId="56FF0A3B" w14:textId="77777777" w:rsidR="001D56C1" w:rsidRPr="00AE453D" w:rsidRDefault="001D56C1" w:rsidP="00F10DB2">
      <w:pPr>
        <w:rPr>
          <w:rFonts w:ascii="Arial" w:hAnsi="Arial" w:cs="Arial"/>
          <w:b/>
          <w:color w:val="000000" w:themeColor="text1"/>
          <w:szCs w:val="20"/>
        </w:rPr>
      </w:pPr>
    </w:p>
    <w:p w14:paraId="7F8D68B3" w14:textId="2E70307C" w:rsidR="00F12BE7" w:rsidRDefault="00F10DB2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>What is the process for a company to provide drug(s) to the NCI Formulary?</w:t>
      </w:r>
    </w:p>
    <w:p w14:paraId="69921917" w14:textId="0D3660D3" w:rsidR="00F10DB2" w:rsidRPr="00AE453D" w:rsidRDefault="007E646A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Companies should express initial interest by submission of the NCI Formulary agent pledge letter. Upon receipt, NCI will begin negotiations with the company to execute a CRADA to support Formulary protocols with the agent(s).</w:t>
      </w:r>
    </w:p>
    <w:p w14:paraId="7BF778DA" w14:textId="11385CDE" w:rsidR="00F10DB2" w:rsidRDefault="00F10DB2">
      <w:pPr>
        <w:rPr>
          <w:rFonts w:ascii="Arial" w:hAnsi="Arial" w:cs="Arial"/>
          <w:b/>
          <w:color w:val="000000" w:themeColor="text1"/>
          <w:szCs w:val="20"/>
        </w:rPr>
      </w:pPr>
    </w:p>
    <w:p w14:paraId="3A4F658C" w14:textId="77777777" w:rsidR="001D56C1" w:rsidRPr="00AE453D" w:rsidRDefault="001D56C1">
      <w:pPr>
        <w:rPr>
          <w:rFonts w:ascii="Arial" w:hAnsi="Arial" w:cs="Arial"/>
          <w:b/>
          <w:color w:val="000000" w:themeColor="text1"/>
          <w:szCs w:val="20"/>
        </w:rPr>
      </w:pPr>
    </w:p>
    <w:p w14:paraId="6B455C8B" w14:textId="57FDA6EB" w:rsidR="00AC23F7" w:rsidRPr="00AE453D" w:rsidRDefault="001E0426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>Will collaborator</w:t>
      </w:r>
      <w:r w:rsidR="00500566" w:rsidRPr="00AE453D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FE7C10" w:rsidRPr="00AE453D">
        <w:rPr>
          <w:rFonts w:ascii="Arial" w:hAnsi="Arial" w:cs="Arial"/>
          <w:b/>
          <w:color w:val="000000" w:themeColor="text1"/>
          <w:szCs w:val="20"/>
        </w:rPr>
        <w:t xml:space="preserve">enter into </w:t>
      </w:r>
      <w:r w:rsidR="004A37BB" w:rsidRPr="00AE453D">
        <w:rPr>
          <w:rFonts w:ascii="Arial" w:hAnsi="Arial" w:cs="Arial"/>
          <w:b/>
          <w:color w:val="000000" w:themeColor="text1"/>
          <w:szCs w:val="20"/>
        </w:rPr>
        <w:t>agreements</w:t>
      </w:r>
      <w:r w:rsidR="00FE7C10" w:rsidRPr="00AE453D">
        <w:rPr>
          <w:rFonts w:ascii="Arial" w:hAnsi="Arial" w:cs="Arial"/>
          <w:b/>
          <w:color w:val="000000" w:themeColor="text1"/>
          <w:szCs w:val="20"/>
        </w:rPr>
        <w:t xml:space="preserve"> with the sites? </w:t>
      </w:r>
    </w:p>
    <w:p w14:paraId="5EFC2306" w14:textId="2480E14C" w:rsidR="00FE7C10" w:rsidRPr="00AE453D" w:rsidRDefault="004A37BB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 xml:space="preserve">The </w:t>
      </w:r>
      <w:r w:rsidR="001E0426" w:rsidRPr="00AE453D">
        <w:rPr>
          <w:rFonts w:ascii="Arial" w:hAnsi="Arial" w:cs="Arial"/>
          <w:color w:val="000000" w:themeColor="text1"/>
          <w:szCs w:val="20"/>
        </w:rPr>
        <w:t>collaborator will execute a CRADA with the NCI for the Formulary agents. The NCI will execute a NCI Formulary Material Transfer Agreement with the investigator/site. The collaborator does not need to execute separate agreements with the sites.</w:t>
      </w:r>
      <w:r w:rsidRPr="00AE453D">
        <w:rPr>
          <w:rFonts w:ascii="Arial" w:hAnsi="Arial" w:cs="Arial"/>
          <w:color w:val="000000" w:themeColor="text1"/>
          <w:szCs w:val="20"/>
        </w:rPr>
        <w:t xml:space="preserve"> </w:t>
      </w:r>
    </w:p>
    <w:p w14:paraId="09D897FE" w14:textId="12F78ED8" w:rsidR="002C737D" w:rsidRDefault="002C737D">
      <w:pPr>
        <w:rPr>
          <w:rFonts w:ascii="Arial" w:hAnsi="Arial" w:cs="Arial"/>
          <w:color w:val="000000" w:themeColor="text1"/>
          <w:szCs w:val="20"/>
        </w:rPr>
      </w:pPr>
    </w:p>
    <w:p w14:paraId="3E2FA5EC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554B9395" w14:textId="73B5B9FB" w:rsidR="002C737D" w:rsidRPr="00AE453D" w:rsidRDefault="002C737D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 xml:space="preserve">Is the company required to provide funding to the site? </w:t>
      </w:r>
    </w:p>
    <w:p w14:paraId="4F69B0B1" w14:textId="77777777" w:rsidR="002C737D" w:rsidRPr="00AE453D" w:rsidRDefault="002C737D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 xml:space="preserve">No, the company is not required to provide funding to the site. </w:t>
      </w:r>
    </w:p>
    <w:p w14:paraId="24AC4FEB" w14:textId="44FD2414" w:rsidR="002C737D" w:rsidRDefault="002C737D">
      <w:pPr>
        <w:rPr>
          <w:rFonts w:ascii="Arial" w:hAnsi="Arial" w:cs="Arial"/>
          <w:color w:val="000000" w:themeColor="text1"/>
          <w:szCs w:val="20"/>
        </w:rPr>
      </w:pPr>
    </w:p>
    <w:p w14:paraId="3E5DE8D6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0182A724" w14:textId="6283E38B" w:rsidR="002C737D" w:rsidRPr="00AE453D" w:rsidRDefault="002C737D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 xml:space="preserve">If a site requests funding for the </w:t>
      </w:r>
      <w:r w:rsidR="001E0426" w:rsidRPr="00AE453D">
        <w:rPr>
          <w:rFonts w:ascii="Arial" w:hAnsi="Arial" w:cs="Arial"/>
          <w:b/>
          <w:color w:val="000000" w:themeColor="text1"/>
          <w:szCs w:val="20"/>
        </w:rPr>
        <w:t xml:space="preserve">protocol at the time of the </w:t>
      </w:r>
      <w:r w:rsidR="00950A49" w:rsidRPr="00AE453D">
        <w:rPr>
          <w:rFonts w:ascii="Arial" w:hAnsi="Arial" w:cs="Arial"/>
          <w:b/>
          <w:color w:val="000000" w:themeColor="text1"/>
          <w:szCs w:val="20"/>
        </w:rPr>
        <w:t>LOI</w:t>
      </w:r>
      <w:r w:rsidR="001E0426" w:rsidRPr="00AE453D">
        <w:rPr>
          <w:rFonts w:ascii="Arial" w:hAnsi="Arial" w:cs="Arial"/>
          <w:b/>
          <w:color w:val="000000" w:themeColor="text1"/>
          <w:szCs w:val="20"/>
        </w:rPr>
        <w:t xml:space="preserve"> submission</w:t>
      </w:r>
      <w:r w:rsidR="00950A49" w:rsidRPr="00AE453D">
        <w:rPr>
          <w:rFonts w:ascii="Arial" w:hAnsi="Arial" w:cs="Arial"/>
          <w:b/>
          <w:color w:val="000000" w:themeColor="text1"/>
          <w:szCs w:val="20"/>
        </w:rPr>
        <w:t xml:space="preserve"> and c</w:t>
      </w:r>
      <w:r w:rsidR="001E0426" w:rsidRPr="00AE453D">
        <w:rPr>
          <w:rFonts w:ascii="Arial" w:hAnsi="Arial" w:cs="Arial"/>
          <w:b/>
          <w:color w:val="000000" w:themeColor="text1"/>
          <w:szCs w:val="20"/>
        </w:rPr>
        <w:t>ollaborator</w:t>
      </w:r>
      <w:r w:rsidR="00950A49" w:rsidRPr="00AE453D">
        <w:rPr>
          <w:rFonts w:ascii="Arial" w:hAnsi="Arial" w:cs="Arial"/>
          <w:b/>
          <w:color w:val="000000" w:themeColor="text1"/>
          <w:szCs w:val="20"/>
        </w:rPr>
        <w:t xml:space="preserve"> agrees, </w:t>
      </w:r>
      <w:r w:rsidRPr="00AE453D">
        <w:rPr>
          <w:rFonts w:ascii="Arial" w:hAnsi="Arial" w:cs="Arial"/>
          <w:b/>
          <w:color w:val="000000" w:themeColor="text1"/>
          <w:szCs w:val="20"/>
        </w:rPr>
        <w:t xml:space="preserve">how is it managed? </w:t>
      </w:r>
    </w:p>
    <w:p w14:paraId="0C52CF79" w14:textId="7C287AEE" w:rsidR="002C737D" w:rsidRPr="00AE453D" w:rsidRDefault="002C737D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 xml:space="preserve">If collaborator agrees to provide funds to </w:t>
      </w:r>
      <w:r w:rsidR="001E0426" w:rsidRPr="00AE453D">
        <w:rPr>
          <w:rFonts w:ascii="Arial" w:hAnsi="Arial" w:cs="Arial"/>
          <w:color w:val="000000" w:themeColor="text1"/>
          <w:szCs w:val="20"/>
        </w:rPr>
        <w:t xml:space="preserve">a </w:t>
      </w:r>
      <w:r w:rsidRPr="00AE453D">
        <w:rPr>
          <w:rFonts w:ascii="Arial" w:hAnsi="Arial" w:cs="Arial"/>
          <w:color w:val="000000" w:themeColor="text1"/>
          <w:szCs w:val="20"/>
        </w:rPr>
        <w:t>site</w:t>
      </w:r>
      <w:r w:rsidR="001E0426" w:rsidRPr="00AE453D">
        <w:rPr>
          <w:rFonts w:ascii="Arial" w:hAnsi="Arial" w:cs="Arial"/>
          <w:color w:val="000000" w:themeColor="text1"/>
          <w:szCs w:val="20"/>
        </w:rPr>
        <w:t>,</w:t>
      </w:r>
      <w:r w:rsidRPr="00AE453D">
        <w:rPr>
          <w:rFonts w:ascii="Arial" w:hAnsi="Arial" w:cs="Arial"/>
          <w:color w:val="000000" w:themeColor="text1"/>
          <w:szCs w:val="20"/>
        </w:rPr>
        <w:t xml:space="preserve"> the funds can be managed through the </w:t>
      </w:r>
      <w:r w:rsidR="001D56C1">
        <w:rPr>
          <w:rFonts w:ascii="Arial" w:hAnsi="Arial" w:cs="Arial"/>
          <w:color w:val="000000" w:themeColor="text1"/>
          <w:szCs w:val="20"/>
        </w:rPr>
        <w:t xml:space="preserve">NCI Formulary </w:t>
      </w:r>
      <w:r w:rsidRPr="00AE453D">
        <w:rPr>
          <w:rFonts w:ascii="Arial" w:hAnsi="Arial" w:cs="Arial"/>
          <w:color w:val="000000" w:themeColor="text1"/>
          <w:szCs w:val="20"/>
        </w:rPr>
        <w:t xml:space="preserve">CRADA to avoid a separate agreement.  </w:t>
      </w:r>
    </w:p>
    <w:p w14:paraId="5FEDFBB2" w14:textId="33BA1DDA" w:rsidR="002C737D" w:rsidRDefault="002C737D">
      <w:pPr>
        <w:rPr>
          <w:rFonts w:ascii="Arial" w:hAnsi="Arial" w:cs="Arial"/>
          <w:color w:val="000000" w:themeColor="text1"/>
          <w:szCs w:val="20"/>
        </w:rPr>
      </w:pPr>
    </w:p>
    <w:p w14:paraId="0618124F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47DDBD7C" w14:textId="379E2803" w:rsidR="002C737D" w:rsidRPr="00AE453D" w:rsidRDefault="001E0426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>Can collaborators</w:t>
      </w:r>
      <w:r w:rsidR="0064500C" w:rsidRPr="00AE453D">
        <w:rPr>
          <w:rFonts w:ascii="Arial" w:hAnsi="Arial" w:cs="Arial"/>
          <w:b/>
          <w:color w:val="000000" w:themeColor="text1"/>
          <w:szCs w:val="20"/>
        </w:rPr>
        <w:t xml:space="preserve"> communicate directly with investigators? </w:t>
      </w:r>
    </w:p>
    <w:p w14:paraId="20BB09BA" w14:textId="1ED1B916" w:rsidR="0064500C" w:rsidRPr="00AE453D" w:rsidRDefault="0064500C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 xml:space="preserve">Yes, </w:t>
      </w:r>
      <w:r w:rsidR="00950A49" w:rsidRPr="00AE453D">
        <w:rPr>
          <w:rFonts w:ascii="Arial" w:hAnsi="Arial" w:cs="Arial"/>
          <w:color w:val="000000" w:themeColor="text1"/>
          <w:szCs w:val="20"/>
        </w:rPr>
        <w:t>d</w:t>
      </w:r>
      <w:r w:rsidR="001C2268" w:rsidRPr="00AE453D">
        <w:rPr>
          <w:rFonts w:ascii="Arial" w:hAnsi="Arial" w:cs="Arial"/>
          <w:color w:val="000000" w:themeColor="text1"/>
          <w:szCs w:val="20"/>
        </w:rPr>
        <w:t xml:space="preserve">irect discussions between </w:t>
      </w:r>
      <w:r w:rsidR="00941294" w:rsidRPr="00AE453D">
        <w:rPr>
          <w:rFonts w:ascii="Arial" w:hAnsi="Arial" w:cs="Arial"/>
          <w:color w:val="000000" w:themeColor="text1"/>
          <w:szCs w:val="20"/>
        </w:rPr>
        <w:t xml:space="preserve">the </w:t>
      </w:r>
      <w:r w:rsidR="001E0426" w:rsidRPr="00AE453D">
        <w:rPr>
          <w:rFonts w:ascii="Arial" w:hAnsi="Arial" w:cs="Arial"/>
          <w:color w:val="000000" w:themeColor="text1"/>
          <w:szCs w:val="20"/>
        </w:rPr>
        <w:t xml:space="preserve">collaborator </w:t>
      </w:r>
      <w:r w:rsidR="001C2268" w:rsidRPr="00AE453D">
        <w:rPr>
          <w:rFonts w:ascii="Arial" w:hAnsi="Arial" w:cs="Arial"/>
          <w:color w:val="000000" w:themeColor="text1"/>
          <w:szCs w:val="20"/>
        </w:rPr>
        <w:t xml:space="preserve">and investigators will be </w:t>
      </w:r>
      <w:r w:rsidR="001E0426" w:rsidRPr="00AE453D">
        <w:rPr>
          <w:rFonts w:ascii="Arial" w:hAnsi="Arial" w:cs="Arial"/>
          <w:color w:val="000000" w:themeColor="text1"/>
          <w:szCs w:val="20"/>
        </w:rPr>
        <w:t>required</w:t>
      </w:r>
      <w:r w:rsidR="001C2268" w:rsidRPr="00AE453D">
        <w:rPr>
          <w:rFonts w:ascii="Arial" w:hAnsi="Arial" w:cs="Arial"/>
          <w:color w:val="000000" w:themeColor="text1"/>
          <w:szCs w:val="20"/>
        </w:rPr>
        <w:t>.</w:t>
      </w:r>
    </w:p>
    <w:p w14:paraId="4270E994" w14:textId="3800F9E4" w:rsidR="00E4742A" w:rsidRDefault="00E4742A">
      <w:pPr>
        <w:rPr>
          <w:rFonts w:ascii="Arial" w:hAnsi="Arial" w:cs="Arial"/>
          <w:color w:val="000000" w:themeColor="text1"/>
          <w:szCs w:val="20"/>
        </w:rPr>
      </w:pPr>
    </w:p>
    <w:p w14:paraId="187F7C5E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00BDB7C6" w14:textId="305474AA" w:rsidR="00E4742A" w:rsidRPr="00AE453D" w:rsidRDefault="00834C26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>When should the collaborator</w:t>
      </w:r>
      <w:r w:rsidR="00A84331" w:rsidRPr="00AE453D">
        <w:rPr>
          <w:rFonts w:ascii="Arial" w:hAnsi="Arial" w:cs="Arial"/>
          <w:b/>
          <w:color w:val="000000" w:themeColor="text1"/>
          <w:szCs w:val="20"/>
        </w:rPr>
        <w:t xml:space="preserve"> expect NCI to arrange initial shipments? </w:t>
      </w:r>
    </w:p>
    <w:p w14:paraId="093FD4B7" w14:textId="4A085BBB" w:rsidR="00A84331" w:rsidRPr="00AE453D" w:rsidRDefault="00A84331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>NCI will arrange initial a</w:t>
      </w:r>
      <w:r w:rsidR="001E0426" w:rsidRPr="00AE453D">
        <w:rPr>
          <w:rFonts w:ascii="Arial" w:hAnsi="Arial" w:cs="Arial"/>
          <w:color w:val="000000" w:themeColor="text1"/>
          <w:szCs w:val="20"/>
        </w:rPr>
        <w:t xml:space="preserve">gent shipments with the </w:t>
      </w:r>
      <w:r w:rsidRPr="00AE453D">
        <w:rPr>
          <w:rFonts w:ascii="Arial" w:hAnsi="Arial" w:cs="Arial"/>
          <w:color w:val="000000" w:themeColor="text1"/>
          <w:szCs w:val="20"/>
        </w:rPr>
        <w:t xml:space="preserve">collaborator once the first proposal (LOI) for the agent is approved. </w:t>
      </w:r>
      <w:r w:rsidR="00834C26" w:rsidRPr="00AE453D">
        <w:rPr>
          <w:rFonts w:ascii="Arial" w:hAnsi="Arial" w:cs="Arial"/>
          <w:color w:val="000000" w:themeColor="text1"/>
          <w:szCs w:val="20"/>
        </w:rPr>
        <w:t>If the NCI Formulary agent is also subject to an existing CRADA with CTEP, DCTD, NCI, separates supplies of agent to support the NCI Formulary CRADA are required.</w:t>
      </w:r>
    </w:p>
    <w:p w14:paraId="70D02348" w14:textId="6DD2E222" w:rsidR="00A84331" w:rsidRDefault="00A84331">
      <w:pPr>
        <w:rPr>
          <w:rFonts w:ascii="Arial" w:hAnsi="Arial" w:cs="Arial"/>
          <w:color w:val="000000" w:themeColor="text1"/>
          <w:szCs w:val="20"/>
        </w:rPr>
      </w:pPr>
    </w:p>
    <w:p w14:paraId="4E3A3733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7BE66C56" w14:textId="0653CCA0" w:rsidR="00A84331" w:rsidRPr="00AE453D" w:rsidRDefault="00A84331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 xml:space="preserve">Is there a limit to how many or how few agents a </w:t>
      </w:r>
      <w:r w:rsidR="00834C26" w:rsidRPr="00AE453D">
        <w:rPr>
          <w:rFonts w:ascii="Arial" w:hAnsi="Arial" w:cs="Arial"/>
          <w:b/>
          <w:color w:val="000000" w:themeColor="text1"/>
          <w:szCs w:val="20"/>
        </w:rPr>
        <w:t>collaborator</w:t>
      </w:r>
      <w:r w:rsidRPr="00AE453D">
        <w:rPr>
          <w:rFonts w:ascii="Arial" w:hAnsi="Arial" w:cs="Arial"/>
          <w:b/>
          <w:color w:val="000000" w:themeColor="text1"/>
          <w:szCs w:val="20"/>
        </w:rPr>
        <w:t xml:space="preserve"> can provide to the NCI Formulary? </w:t>
      </w:r>
    </w:p>
    <w:p w14:paraId="51D72C7B" w14:textId="6B6C6A7D" w:rsidR="00A84331" w:rsidRPr="00AE453D" w:rsidRDefault="00A84331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>No, there is no limit to the number of agents provided by a co</w:t>
      </w:r>
      <w:r w:rsidR="00834C26" w:rsidRPr="00AE453D">
        <w:rPr>
          <w:rFonts w:ascii="Arial" w:hAnsi="Arial" w:cs="Arial"/>
          <w:color w:val="000000" w:themeColor="text1"/>
          <w:szCs w:val="20"/>
        </w:rPr>
        <w:t>llaborator</w:t>
      </w:r>
      <w:r w:rsidRPr="00AE453D">
        <w:rPr>
          <w:rFonts w:ascii="Arial" w:hAnsi="Arial" w:cs="Arial"/>
          <w:color w:val="000000" w:themeColor="text1"/>
          <w:szCs w:val="20"/>
        </w:rPr>
        <w:t>.</w:t>
      </w:r>
    </w:p>
    <w:p w14:paraId="46D253A8" w14:textId="2A647B51" w:rsidR="004241C1" w:rsidRDefault="004241C1">
      <w:pPr>
        <w:rPr>
          <w:rFonts w:ascii="Arial" w:hAnsi="Arial" w:cs="Arial"/>
          <w:color w:val="000000" w:themeColor="text1"/>
          <w:szCs w:val="20"/>
        </w:rPr>
      </w:pPr>
    </w:p>
    <w:p w14:paraId="6BDB9975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0DE0403B" w14:textId="77777777" w:rsidR="004241C1" w:rsidRPr="00AE453D" w:rsidRDefault="00500566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 xml:space="preserve">Will sites outside the US be participating in this initiative? </w:t>
      </w:r>
    </w:p>
    <w:p w14:paraId="6F0CD5FF" w14:textId="57F58DA5" w:rsidR="00500566" w:rsidRPr="00AE453D" w:rsidRDefault="00500566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 xml:space="preserve">No, the </w:t>
      </w:r>
      <w:r w:rsidR="00834C26" w:rsidRPr="00AE453D">
        <w:rPr>
          <w:rFonts w:ascii="Arial" w:hAnsi="Arial" w:cs="Arial"/>
          <w:color w:val="000000" w:themeColor="text1"/>
          <w:szCs w:val="20"/>
        </w:rPr>
        <w:t xml:space="preserve">protocols </w:t>
      </w:r>
      <w:r w:rsidRPr="00AE453D">
        <w:rPr>
          <w:rFonts w:ascii="Arial" w:hAnsi="Arial" w:cs="Arial"/>
          <w:color w:val="000000" w:themeColor="text1"/>
          <w:szCs w:val="20"/>
        </w:rPr>
        <w:t xml:space="preserve">will </w:t>
      </w:r>
      <w:r w:rsidR="00834C26" w:rsidRPr="00AE453D">
        <w:rPr>
          <w:rFonts w:ascii="Arial" w:hAnsi="Arial" w:cs="Arial"/>
          <w:color w:val="000000" w:themeColor="text1"/>
          <w:szCs w:val="20"/>
        </w:rPr>
        <w:t xml:space="preserve">only be conducted at U.S. NCI-designated Cancer Centers. </w:t>
      </w:r>
      <w:r w:rsidRPr="00AE453D">
        <w:rPr>
          <w:rFonts w:ascii="Arial" w:hAnsi="Arial" w:cs="Arial"/>
          <w:color w:val="000000" w:themeColor="text1"/>
          <w:szCs w:val="20"/>
        </w:rPr>
        <w:t xml:space="preserve"> </w:t>
      </w:r>
    </w:p>
    <w:p w14:paraId="0797B551" w14:textId="629AFED5" w:rsidR="001E1AC6" w:rsidRDefault="001E1AC6">
      <w:pPr>
        <w:rPr>
          <w:rFonts w:ascii="Arial" w:hAnsi="Arial" w:cs="Arial"/>
          <w:color w:val="000000" w:themeColor="text1"/>
          <w:szCs w:val="20"/>
        </w:rPr>
      </w:pPr>
    </w:p>
    <w:p w14:paraId="6F2F2FC8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62139461" w14:textId="67C7EB62" w:rsidR="001E1AC6" w:rsidRPr="00AE453D" w:rsidRDefault="001E1AC6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 xml:space="preserve">Who will review and approve proposals submitted by investigators? </w:t>
      </w:r>
    </w:p>
    <w:p w14:paraId="243030AC" w14:textId="676981AC" w:rsidR="001E1AC6" w:rsidRPr="00AE453D" w:rsidRDefault="005670C8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 xml:space="preserve">The </w:t>
      </w:r>
      <w:r w:rsidR="00834C26" w:rsidRPr="00AE453D">
        <w:rPr>
          <w:rFonts w:ascii="Arial" w:hAnsi="Arial" w:cs="Arial"/>
          <w:color w:val="000000" w:themeColor="text1"/>
          <w:szCs w:val="20"/>
        </w:rPr>
        <w:t>collaborator(s)</w:t>
      </w:r>
      <w:r w:rsidRPr="00AE453D">
        <w:rPr>
          <w:rFonts w:ascii="Arial" w:hAnsi="Arial" w:cs="Arial"/>
          <w:color w:val="000000" w:themeColor="text1"/>
          <w:szCs w:val="20"/>
        </w:rPr>
        <w:t xml:space="preserve"> providing the agent</w:t>
      </w:r>
      <w:r w:rsidR="00834C26" w:rsidRPr="00AE453D">
        <w:rPr>
          <w:rFonts w:ascii="Arial" w:hAnsi="Arial" w:cs="Arial"/>
          <w:color w:val="000000" w:themeColor="text1"/>
          <w:szCs w:val="20"/>
        </w:rPr>
        <w:t>(s)</w:t>
      </w:r>
      <w:r w:rsidRPr="00AE453D">
        <w:rPr>
          <w:rFonts w:ascii="Arial" w:hAnsi="Arial" w:cs="Arial"/>
          <w:color w:val="000000" w:themeColor="text1"/>
          <w:szCs w:val="20"/>
        </w:rPr>
        <w:t xml:space="preserve"> will review </w:t>
      </w:r>
      <w:r w:rsidR="00834C26" w:rsidRPr="00AE453D">
        <w:rPr>
          <w:rFonts w:ascii="Arial" w:hAnsi="Arial" w:cs="Arial"/>
          <w:color w:val="000000" w:themeColor="text1"/>
          <w:szCs w:val="20"/>
        </w:rPr>
        <w:t xml:space="preserve">the investigator-submitted </w:t>
      </w:r>
      <w:r w:rsidRPr="00AE453D">
        <w:rPr>
          <w:rFonts w:ascii="Arial" w:hAnsi="Arial" w:cs="Arial"/>
          <w:color w:val="000000" w:themeColor="text1"/>
          <w:szCs w:val="20"/>
        </w:rPr>
        <w:t xml:space="preserve">proposals </w:t>
      </w:r>
      <w:r w:rsidR="00834C26" w:rsidRPr="00AE453D">
        <w:rPr>
          <w:rFonts w:ascii="Arial" w:hAnsi="Arial" w:cs="Arial"/>
          <w:color w:val="000000" w:themeColor="text1"/>
          <w:szCs w:val="20"/>
        </w:rPr>
        <w:t>and render a decision within 60 days of receipt of the proposal form the NCI.</w:t>
      </w:r>
    </w:p>
    <w:p w14:paraId="48A5D616" w14:textId="0048F5E9" w:rsidR="005670C8" w:rsidRDefault="005670C8">
      <w:pPr>
        <w:rPr>
          <w:rFonts w:ascii="Arial" w:hAnsi="Arial" w:cs="Arial"/>
          <w:color w:val="000000" w:themeColor="text1"/>
          <w:szCs w:val="20"/>
        </w:rPr>
      </w:pPr>
    </w:p>
    <w:p w14:paraId="0A0E8EA4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77372582" w14:textId="58C5AA2D" w:rsidR="005670C8" w:rsidRPr="00AE453D" w:rsidRDefault="00834C26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>Will the collaborator</w:t>
      </w:r>
      <w:r w:rsidR="005670C8" w:rsidRPr="00AE453D">
        <w:rPr>
          <w:rFonts w:ascii="Arial" w:hAnsi="Arial" w:cs="Arial"/>
          <w:b/>
          <w:color w:val="000000" w:themeColor="text1"/>
          <w:szCs w:val="20"/>
        </w:rPr>
        <w:t xml:space="preserve"> be made aware of </w:t>
      </w:r>
      <w:r w:rsidRPr="00AE453D">
        <w:rPr>
          <w:rFonts w:ascii="Arial" w:hAnsi="Arial" w:cs="Arial"/>
          <w:b/>
          <w:color w:val="000000" w:themeColor="text1"/>
          <w:szCs w:val="20"/>
        </w:rPr>
        <w:t>adverse e</w:t>
      </w:r>
      <w:r w:rsidR="005670C8" w:rsidRPr="00AE453D">
        <w:rPr>
          <w:rFonts w:ascii="Arial" w:hAnsi="Arial" w:cs="Arial"/>
          <w:b/>
          <w:color w:val="000000" w:themeColor="text1"/>
          <w:szCs w:val="20"/>
        </w:rPr>
        <w:t>vents?</w:t>
      </w:r>
    </w:p>
    <w:p w14:paraId="10491700" w14:textId="4C240544" w:rsidR="005670C8" w:rsidRPr="00AE453D" w:rsidRDefault="00834C26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 xml:space="preserve">Yes, the collaborator </w:t>
      </w:r>
      <w:r w:rsidR="005670C8" w:rsidRPr="00AE453D">
        <w:rPr>
          <w:rFonts w:ascii="Arial" w:hAnsi="Arial" w:cs="Arial"/>
          <w:color w:val="000000" w:themeColor="text1"/>
          <w:szCs w:val="20"/>
        </w:rPr>
        <w:t xml:space="preserve">will be informed of </w:t>
      </w:r>
      <w:r w:rsidRPr="00AE453D">
        <w:rPr>
          <w:rFonts w:ascii="Arial" w:hAnsi="Arial" w:cs="Arial"/>
          <w:color w:val="000000" w:themeColor="text1"/>
          <w:szCs w:val="20"/>
        </w:rPr>
        <w:t xml:space="preserve">all routine adverse events submitted through the clinical data reporting system.  The collaborator will be copied on all serious adverse events </w:t>
      </w:r>
      <w:r w:rsidR="009B4380" w:rsidRPr="00AE453D">
        <w:rPr>
          <w:rFonts w:ascii="Arial" w:hAnsi="Arial" w:cs="Arial"/>
          <w:color w:val="000000" w:themeColor="text1"/>
          <w:szCs w:val="20"/>
        </w:rPr>
        <w:t>submitted</w:t>
      </w:r>
      <w:r w:rsidR="005670C8" w:rsidRPr="00AE453D">
        <w:rPr>
          <w:rFonts w:ascii="Arial" w:hAnsi="Arial" w:cs="Arial"/>
          <w:color w:val="000000" w:themeColor="text1"/>
          <w:szCs w:val="20"/>
        </w:rPr>
        <w:t xml:space="preserve"> through the NCI </w:t>
      </w:r>
      <w:r w:rsidR="009B4380" w:rsidRPr="00AE453D">
        <w:rPr>
          <w:rFonts w:ascii="Arial" w:hAnsi="Arial" w:cs="Arial"/>
          <w:color w:val="000000" w:themeColor="text1"/>
          <w:szCs w:val="20"/>
        </w:rPr>
        <w:t>CTEP AERS expedited adverse event r</w:t>
      </w:r>
      <w:r w:rsidR="005670C8" w:rsidRPr="00AE453D">
        <w:rPr>
          <w:rFonts w:ascii="Arial" w:hAnsi="Arial" w:cs="Arial"/>
          <w:color w:val="000000" w:themeColor="text1"/>
          <w:szCs w:val="20"/>
        </w:rPr>
        <w:t xml:space="preserve">eporting </w:t>
      </w:r>
      <w:r w:rsidR="009B4380" w:rsidRPr="00AE453D">
        <w:rPr>
          <w:rFonts w:ascii="Arial" w:hAnsi="Arial" w:cs="Arial"/>
          <w:color w:val="000000" w:themeColor="text1"/>
          <w:szCs w:val="20"/>
        </w:rPr>
        <w:t>s</w:t>
      </w:r>
      <w:r w:rsidR="005670C8" w:rsidRPr="00AE453D">
        <w:rPr>
          <w:rFonts w:ascii="Arial" w:hAnsi="Arial" w:cs="Arial"/>
          <w:color w:val="000000" w:themeColor="text1"/>
          <w:szCs w:val="20"/>
        </w:rPr>
        <w:t xml:space="preserve">ystem. </w:t>
      </w:r>
    </w:p>
    <w:p w14:paraId="5A7A8B2D" w14:textId="6B82D662" w:rsidR="00500566" w:rsidRDefault="00500566">
      <w:pPr>
        <w:rPr>
          <w:rFonts w:ascii="Arial" w:hAnsi="Arial" w:cs="Arial"/>
          <w:color w:val="000000" w:themeColor="text1"/>
          <w:szCs w:val="20"/>
        </w:rPr>
      </w:pPr>
    </w:p>
    <w:p w14:paraId="15676DA6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2D187652" w14:textId="346A6C1A" w:rsidR="004A498B" w:rsidRPr="00AE453D" w:rsidRDefault="009B4380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lastRenderedPageBreak/>
        <w:t>What will collaborators</w:t>
      </w:r>
      <w:r w:rsidR="004A498B" w:rsidRPr="00AE453D">
        <w:rPr>
          <w:rFonts w:ascii="Arial" w:hAnsi="Arial" w:cs="Arial"/>
          <w:b/>
          <w:color w:val="000000" w:themeColor="text1"/>
          <w:szCs w:val="20"/>
        </w:rPr>
        <w:t xml:space="preserve"> be expected to provide with each lot of agent?</w:t>
      </w:r>
    </w:p>
    <w:p w14:paraId="1E800108" w14:textId="2EE2D89B" w:rsidR="004A498B" w:rsidRPr="00AE453D" w:rsidRDefault="009B4380" w:rsidP="004A4BBE">
      <w:pPr>
        <w:pStyle w:val="ListParagraph"/>
        <w:rPr>
          <w:rFonts w:ascii="Arial" w:hAnsi="Arial" w:cs="Arial"/>
          <w:szCs w:val="20"/>
        </w:rPr>
      </w:pPr>
      <w:r w:rsidRPr="00AE453D">
        <w:rPr>
          <w:rFonts w:ascii="Arial" w:hAnsi="Arial" w:cs="Arial"/>
          <w:szCs w:val="20"/>
        </w:rPr>
        <w:t>Lot release C</w:t>
      </w:r>
      <w:r w:rsidR="00F667E3" w:rsidRPr="00AE453D">
        <w:rPr>
          <w:rFonts w:ascii="Arial" w:hAnsi="Arial" w:cs="Arial"/>
          <w:szCs w:val="20"/>
        </w:rPr>
        <w:t>ertificate of Analysis</w:t>
      </w:r>
    </w:p>
    <w:p w14:paraId="3E574B7E" w14:textId="26D6B17F" w:rsidR="00F667E3" w:rsidRPr="00AE453D" w:rsidRDefault="00F667E3" w:rsidP="004A4BBE">
      <w:pPr>
        <w:pStyle w:val="ListParagraph"/>
        <w:rPr>
          <w:rFonts w:ascii="Arial" w:hAnsi="Arial" w:cs="Arial"/>
          <w:szCs w:val="20"/>
        </w:rPr>
      </w:pPr>
      <w:r w:rsidRPr="00AE453D">
        <w:rPr>
          <w:rFonts w:ascii="Arial" w:hAnsi="Arial" w:cs="Arial"/>
          <w:szCs w:val="20"/>
        </w:rPr>
        <w:t xml:space="preserve">cGMP </w:t>
      </w:r>
      <w:r w:rsidR="009B4380" w:rsidRPr="00AE453D">
        <w:rPr>
          <w:rFonts w:ascii="Arial" w:hAnsi="Arial" w:cs="Arial"/>
          <w:szCs w:val="20"/>
        </w:rPr>
        <w:t>certificate if c</w:t>
      </w:r>
      <w:r w:rsidRPr="00AE453D">
        <w:rPr>
          <w:rFonts w:ascii="Arial" w:hAnsi="Arial" w:cs="Arial"/>
          <w:szCs w:val="20"/>
        </w:rPr>
        <w:t>ompliance</w:t>
      </w:r>
    </w:p>
    <w:p w14:paraId="0641E01B" w14:textId="6F421021" w:rsidR="00F667E3" w:rsidRPr="00AE453D" w:rsidRDefault="00F667E3" w:rsidP="004A4BBE">
      <w:pPr>
        <w:pStyle w:val="ListParagraph"/>
        <w:rPr>
          <w:rFonts w:ascii="Arial" w:hAnsi="Arial" w:cs="Arial"/>
          <w:szCs w:val="20"/>
        </w:rPr>
      </w:pPr>
      <w:r w:rsidRPr="00AE453D">
        <w:rPr>
          <w:rFonts w:ascii="Arial" w:hAnsi="Arial" w:cs="Arial"/>
          <w:szCs w:val="20"/>
        </w:rPr>
        <w:t>Formulary Agent Material Safety Data Sheet</w:t>
      </w:r>
    </w:p>
    <w:p w14:paraId="19A8794C" w14:textId="3DAD728A" w:rsidR="00F667E3" w:rsidRPr="00AE453D" w:rsidRDefault="00F667E3" w:rsidP="004A4BBE">
      <w:pPr>
        <w:pStyle w:val="ListParagraph"/>
        <w:rPr>
          <w:rFonts w:ascii="Arial" w:hAnsi="Arial" w:cs="Arial"/>
          <w:szCs w:val="20"/>
        </w:rPr>
      </w:pPr>
      <w:r w:rsidRPr="00AE453D">
        <w:rPr>
          <w:rFonts w:ascii="Arial" w:hAnsi="Arial" w:cs="Arial"/>
          <w:szCs w:val="20"/>
        </w:rPr>
        <w:t>Collaborator test results o</w:t>
      </w:r>
      <w:r w:rsidR="009B4380" w:rsidRPr="00AE453D">
        <w:rPr>
          <w:rFonts w:ascii="Arial" w:hAnsi="Arial" w:cs="Arial"/>
          <w:szCs w:val="20"/>
        </w:rPr>
        <w:t>f</w:t>
      </w:r>
      <w:r w:rsidRPr="00AE453D">
        <w:rPr>
          <w:rFonts w:ascii="Arial" w:hAnsi="Arial" w:cs="Arial"/>
          <w:szCs w:val="20"/>
        </w:rPr>
        <w:t xml:space="preserve"> ongoing stability testing for each product lot. </w:t>
      </w:r>
    </w:p>
    <w:p w14:paraId="5471B2AE" w14:textId="3BE62DD4" w:rsidR="00F667E3" w:rsidRDefault="00F667E3" w:rsidP="00F667E3">
      <w:pPr>
        <w:rPr>
          <w:rFonts w:ascii="Arial" w:hAnsi="Arial" w:cs="Arial"/>
          <w:color w:val="000000" w:themeColor="text1"/>
          <w:szCs w:val="20"/>
        </w:rPr>
      </w:pPr>
    </w:p>
    <w:p w14:paraId="08790485" w14:textId="77777777" w:rsidR="001D56C1" w:rsidRPr="00AE453D" w:rsidRDefault="001D56C1" w:rsidP="00F667E3">
      <w:pPr>
        <w:rPr>
          <w:rFonts w:ascii="Arial" w:hAnsi="Arial" w:cs="Arial"/>
          <w:color w:val="000000" w:themeColor="text1"/>
          <w:szCs w:val="20"/>
        </w:rPr>
      </w:pPr>
    </w:p>
    <w:p w14:paraId="2208474A" w14:textId="5C7F3D0F" w:rsidR="00F667E3" w:rsidRPr="00AE453D" w:rsidRDefault="00F667E3" w:rsidP="00F667E3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 xml:space="preserve">What materials/documentation will </w:t>
      </w:r>
      <w:r w:rsidR="009B4380" w:rsidRPr="00AE453D">
        <w:rPr>
          <w:rFonts w:ascii="Arial" w:hAnsi="Arial" w:cs="Arial"/>
          <w:b/>
          <w:color w:val="000000" w:themeColor="text1"/>
          <w:szCs w:val="20"/>
        </w:rPr>
        <w:t>collaborator</w:t>
      </w:r>
      <w:r w:rsidRPr="00AE453D">
        <w:rPr>
          <w:rFonts w:ascii="Arial" w:hAnsi="Arial" w:cs="Arial"/>
          <w:b/>
          <w:color w:val="000000" w:themeColor="text1"/>
          <w:szCs w:val="20"/>
        </w:rPr>
        <w:t xml:space="preserve"> be expected to provide? </w:t>
      </w:r>
    </w:p>
    <w:p w14:paraId="7603CA55" w14:textId="0A761EDC" w:rsidR="009B4380" w:rsidRPr="00AE453D" w:rsidRDefault="009B4380" w:rsidP="00F667E3">
      <w:pPr>
        <w:pStyle w:val="ListParagraph"/>
        <w:rPr>
          <w:rFonts w:ascii="Arial" w:hAnsi="Arial" w:cs="Arial"/>
          <w:szCs w:val="20"/>
        </w:rPr>
      </w:pPr>
      <w:r w:rsidRPr="00AE453D">
        <w:rPr>
          <w:rFonts w:ascii="Arial" w:hAnsi="Arial" w:cs="Arial"/>
          <w:szCs w:val="20"/>
        </w:rPr>
        <w:t>Agent supplies and accompanying required documentation</w:t>
      </w:r>
    </w:p>
    <w:p w14:paraId="32A3B6DA" w14:textId="5333C98E" w:rsidR="00F667E3" w:rsidRPr="00AE453D" w:rsidRDefault="00F667E3" w:rsidP="00F667E3">
      <w:pPr>
        <w:pStyle w:val="ListParagraph"/>
        <w:rPr>
          <w:rFonts w:ascii="Arial" w:hAnsi="Arial" w:cs="Arial"/>
          <w:szCs w:val="20"/>
        </w:rPr>
      </w:pPr>
      <w:r w:rsidRPr="00AE453D">
        <w:rPr>
          <w:rFonts w:ascii="Arial" w:hAnsi="Arial" w:cs="Arial"/>
          <w:szCs w:val="20"/>
        </w:rPr>
        <w:t xml:space="preserve">Investigator’s Brochure (IB) </w:t>
      </w:r>
      <w:r w:rsidR="009B4380" w:rsidRPr="00AE453D">
        <w:rPr>
          <w:rFonts w:ascii="Arial" w:hAnsi="Arial" w:cs="Arial"/>
          <w:szCs w:val="20"/>
        </w:rPr>
        <w:t>and all updates</w:t>
      </w:r>
      <w:r w:rsidR="005A09FA" w:rsidRPr="00AE453D">
        <w:rPr>
          <w:rFonts w:ascii="Arial" w:hAnsi="Arial" w:cs="Arial"/>
          <w:szCs w:val="20"/>
        </w:rPr>
        <w:t>.</w:t>
      </w:r>
    </w:p>
    <w:p w14:paraId="3010896D" w14:textId="299B044D" w:rsidR="009B4380" w:rsidRPr="00AE453D" w:rsidRDefault="009B4380" w:rsidP="009B4380">
      <w:pPr>
        <w:pStyle w:val="ListParagraph"/>
        <w:rPr>
          <w:rFonts w:ascii="Arial" w:hAnsi="Arial" w:cs="Arial"/>
          <w:snapToGrid w:val="0"/>
          <w:szCs w:val="20"/>
        </w:rPr>
      </w:pPr>
      <w:r w:rsidRPr="00AE453D">
        <w:rPr>
          <w:rFonts w:ascii="Arial" w:hAnsi="Arial" w:cs="Arial"/>
          <w:snapToGrid w:val="0"/>
          <w:szCs w:val="20"/>
        </w:rPr>
        <w:t>Cross-reference letter to its Investigational New Drug Application (IND) or Master File for each Formulary Agent(s) to FDA with a copy to the Approved Investigator to file in the investigator-sponsored IND for the clinical trial(s).</w:t>
      </w:r>
    </w:p>
    <w:p w14:paraId="2A3A1AC9" w14:textId="25AF2860" w:rsidR="00500566" w:rsidRDefault="00500566">
      <w:pPr>
        <w:rPr>
          <w:rFonts w:ascii="Arial" w:hAnsi="Arial" w:cs="Arial"/>
          <w:color w:val="000000" w:themeColor="text1"/>
          <w:szCs w:val="20"/>
        </w:rPr>
      </w:pPr>
    </w:p>
    <w:p w14:paraId="4BACBE58" w14:textId="77777777" w:rsidR="001D56C1" w:rsidRPr="00AE453D" w:rsidRDefault="001D56C1">
      <w:pPr>
        <w:rPr>
          <w:rFonts w:ascii="Arial" w:hAnsi="Arial" w:cs="Arial"/>
          <w:color w:val="000000" w:themeColor="text1"/>
          <w:szCs w:val="20"/>
        </w:rPr>
      </w:pPr>
    </w:p>
    <w:p w14:paraId="122257E8" w14:textId="14F183D9" w:rsidR="00500566" w:rsidRPr="00AE453D" w:rsidRDefault="00ED7780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 xml:space="preserve">Will </w:t>
      </w:r>
      <w:r w:rsidR="00AE453D">
        <w:rPr>
          <w:rFonts w:ascii="Arial" w:hAnsi="Arial" w:cs="Arial"/>
          <w:b/>
          <w:color w:val="000000" w:themeColor="text1"/>
          <w:szCs w:val="20"/>
        </w:rPr>
        <w:t>c</w:t>
      </w:r>
      <w:r w:rsidR="00AE453D" w:rsidRPr="00AE453D">
        <w:rPr>
          <w:rFonts w:ascii="Arial" w:hAnsi="Arial" w:cs="Arial"/>
          <w:b/>
          <w:color w:val="000000" w:themeColor="text1"/>
          <w:szCs w:val="20"/>
        </w:rPr>
        <w:t>ollaborators</w:t>
      </w:r>
      <w:r w:rsidRPr="00AE453D">
        <w:rPr>
          <w:rFonts w:ascii="Arial" w:hAnsi="Arial" w:cs="Arial"/>
          <w:b/>
          <w:color w:val="000000" w:themeColor="text1"/>
          <w:szCs w:val="20"/>
        </w:rPr>
        <w:t xml:space="preserve"> receive updates on approved studies?</w:t>
      </w:r>
    </w:p>
    <w:p w14:paraId="3CC7A755" w14:textId="5FD453EC" w:rsidR="00AE453D" w:rsidRPr="00AE453D" w:rsidRDefault="00AE453D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Collaborators will be able to access ongoing Formulary clinical trial data submissions through the Theradex Web-Reporting tool.</w:t>
      </w:r>
    </w:p>
    <w:p w14:paraId="0350CF45" w14:textId="3D0F1D25" w:rsidR="009771B2" w:rsidRDefault="009771B2" w:rsidP="003928CC">
      <w:pPr>
        <w:ind w:left="720"/>
        <w:rPr>
          <w:rFonts w:ascii="Arial" w:hAnsi="Arial" w:cs="Arial"/>
          <w:color w:val="000000" w:themeColor="text1"/>
          <w:szCs w:val="20"/>
        </w:rPr>
      </w:pPr>
    </w:p>
    <w:p w14:paraId="07DDF2DB" w14:textId="77777777" w:rsidR="001D56C1" w:rsidRPr="00AE453D" w:rsidRDefault="001D56C1" w:rsidP="003928CC">
      <w:pPr>
        <w:ind w:left="720"/>
        <w:rPr>
          <w:rFonts w:ascii="Arial" w:hAnsi="Arial" w:cs="Arial"/>
          <w:color w:val="000000" w:themeColor="text1"/>
          <w:szCs w:val="20"/>
        </w:rPr>
      </w:pPr>
    </w:p>
    <w:p w14:paraId="4E2C3141" w14:textId="07F432E9" w:rsidR="009771B2" w:rsidRPr="00AE453D" w:rsidRDefault="00AE453D" w:rsidP="009771B2">
      <w:pPr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Will collaborator </w:t>
      </w:r>
      <w:r w:rsidR="009771B2" w:rsidRPr="00AE453D">
        <w:rPr>
          <w:rFonts w:ascii="Arial" w:hAnsi="Arial" w:cs="Arial"/>
          <w:b/>
          <w:color w:val="000000" w:themeColor="text1"/>
          <w:szCs w:val="20"/>
        </w:rPr>
        <w:t>have an opportunity to review publications by investigator on the provided agent?</w:t>
      </w:r>
    </w:p>
    <w:p w14:paraId="106A6462" w14:textId="0BBDA589" w:rsidR="009771B2" w:rsidRPr="00AE453D" w:rsidRDefault="00AE453D" w:rsidP="009771B2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Yes, collaborators</w:t>
      </w:r>
      <w:r w:rsidR="009771B2" w:rsidRPr="00AE453D">
        <w:rPr>
          <w:rFonts w:ascii="Arial" w:hAnsi="Arial" w:cs="Arial"/>
          <w:color w:val="000000" w:themeColor="text1"/>
          <w:szCs w:val="20"/>
        </w:rPr>
        <w:t xml:space="preserve"> will be able to review Investigator publications to ensure no confidential information is included. </w:t>
      </w:r>
    </w:p>
    <w:p w14:paraId="5F4998DA" w14:textId="68BA69F0" w:rsidR="009771B2" w:rsidRDefault="009771B2" w:rsidP="009771B2">
      <w:pPr>
        <w:rPr>
          <w:rFonts w:ascii="Arial" w:hAnsi="Arial" w:cs="Arial"/>
          <w:color w:val="000000" w:themeColor="text1"/>
          <w:szCs w:val="20"/>
        </w:rPr>
      </w:pPr>
    </w:p>
    <w:p w14:paraId="527F06BC" w14:textId="77777777" w:rsidR="001D56C1" w:rsidRPr="00AE453D" w:rsidRDefault="001D56C1" w:rsidP="009771B2">
      <w:pPr>
        <w:rPr>
          <w:rFonts w:ascii="Arial" w:hAnsi="Arial" w:cs="Arial"/>
          <w:color w:val="000000" w:themeColor="text1"/>
          <w:szCs w:val="20"/>
        </w:rPr>
      </w:pPr>
    </w:p>
    <w:p w14:paraId="2579DBFB" w14:textId="3935DB1D" w:rsidR="009771B2" w:rsidRPr="00AE453D" w:rsidRDefault="00AE453D" w:rsidP="009771B2">
      <w:pPr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Will collaborators</w:t>
      </w:r>
      <w:r w:rsidR="009771B2" w:rsidRPr="00AE453D">
        <w:rPr>
          <w:rFonts w:ascii="Arial" w:hAnsi="Arial" w:cs="Arial"/>
          <w:b/>
          <w:color w:val="000000" w:themeColor="text1"/>
          <w:szCs w:val="20"/>
        </w:rPr>
        <w:t xml:space="preserve"> have a right to data generated under the protocol using the provided agent?</w:t>
      </w:r>
    </w:p>
    <w:p w14:paraId="62E1B570" w14:textId="6E323F5F" w:rsidR="009771B2" w:rsidRDefault="00AE453D" w:rsidP="009771B2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Yes, collaborator</w:t>
      </w:r>
      <w:r w:rsidR="009771B2" w:rsidRPr="00AE453D">
        <w:rPr>
          <w:rFonts w:ascii="Arial" w:hAnsi="Arial" w:cs="Arial"/>
          <w:color w:val="000000" w:themeColor="text1"/>
          <w:szCs w:val="20"/>
        </w:rPr>
        <w:t xml:space="preserve"> will have a right to data generated as specified in the Intellectual Property Option to </w:t>
      </w:r>
      <w:r>
        <w:rPr>
          <w:rFonts w:ascii="Arial" w:hAnsi="Arial" w:cs="Arial"/>
          <w:color w:val="000000" w:themeColor="text1"/>
          <w:szCs w:val="20"/>
        </w:rPr>
        <w:t>c</w:t>
      </w:r>
      <w:r w:rsidR="009771B2" w:rsidRPr="00AE453D">
        <w:rPr>
          <w:rFonts w:ascii="Arial" w:hAnsi="Arial" w:cs="Arial"/>
          <w:color w:val="000000" w:themeColor="text1"/>
          <w:szCs w:val="20"/>
        </w:rPr>
        <w:t xml:space="preserve">ollaborator. </w:t>
      </w:r>
    </w:p>
    <w:p w14:paraId="18B620FE" w14:textId="77777777" w:rsidR="001D56C1" w:rsidRPr="00AE453D" w:rsidRDefault="001D56C1" w:rsidP="009771B2">
      <w:pPr>
        <w:rPr>
          <w:rFonts w:ascii="Arial" w:hAnsi="Arial" w:cs="Arial"/>
          <w:color w:val="000000" w:themeColor="text1"/>
          <w:szCs w:val="20"/>
        </w:rPr>
      </w:pPr>
      <w:bookmarkStart w:id="0" w:name="_GoBack"/>
      <w:bookmarkEnd w:id="0"/>
    </w:p>
    <w:p w14:paraId="5419F996" w14:textId="77777777" w:rsidR="009771B2" w:rsidRPr="00AE453D" w:rsidRDefault="009771B2" w:rsidP="009771B2">
      <w:pPr>
        <w:rPr>
          <w:rFonts w:ascii="Arial" w:hAnsi="Arial" w:cs="Arial"/>
          <w:color w:val="000000" w:themeColor="text1"/>
          <w:szCs w:val="20"/>
        </w:rPr>
      </w:pPr>
    </w:p>
    <w:p w14:paraId="0388DA6B" w14:textId="4061B039" w:rsidR="009771B2" w:rsidRPr="00AE453D" w:rsidRDefault="009771B2" w:rsidP="009771B2">
      <w:pPr>
        <w:rPr>
          <w:rFonts w:ascii="Arial" w:hAnsi="Arial" w:cs="Arial"/>
          <w:b/>
          <w:color w:val="000000" w:themeColor="text1"/>
          <w:szCs w:val="20"/>
        </w:rPr>
      </w:pPr>
      <w:r w:rsidRPr="00AE453D">
        <w:rPr>
          <w:rFonts w:ascii="Arial" w:hAnsi="Arial" w:cs="Arial"/>
          <w:b/>
          <w:color w:val="000000" w:themeColor="text1"/>
          <w:szCs w:val="20"/>
        </w:rPr>
        <w:t xml:space="preserve">Who will be responsible for distributing the agent to approved investigators? </w:t>
      </w:r>
    </w:p>
    <w:p w14:paraId="7EB25B5C" w14:textId="53F6DDE3" w:rsidR="009771B2" w:rsidRPr="00AE453D" w:rsidRDefault="000B085B" w:rsidP="009771B2">
      <w:pPr>
        <w:rPr>
          <w:rFonts w:ascii="Arial" w:hAnsi="Arial" w:cs="Arial"/>
          <w:color w:val="000000" w:themeColor="text1"/>
          <w:szCs w:val="20"/>
        </w:rPr>
      </w:pPr>
      <w:r w:rsidRPr="00AE453D">
        <w:rPr>
          <w:rFonts w:ascii="Arial" w:hAnsi="Arial" w:cs="Arial"/>
          <w:color w:val="000000" w:themeColor="text1"/>
          <w:szCs w:val="20"/>
        </w:rPr>
        <w:t xml:space="preserve">NCI Pharmaceutical Management Branch (PMB) will distribute the agent to the investigators. </w:t>
      </w:r>
    </w:p>
    <w:p w14:paraId="342FF611" w14:textId="77777777" w:rsidR="009771B2" w:rsidRPr="00AE453D" w:rsidRDefault="009771B2" w:rsidP="009771B2">
      <w:pPr>
        <w:rPr>
          <w:rFonts w:ascii="Arial" w:hAnsi="Arial" w:cs="Arial"/>
          <w:color w:val="000000" w:themeColor="text1"/>
          <w:szCs w:val="20"/>
        </w:rPr>
      </w:pPr>
    </w:p>
    <w:sectPr w:rsidR="009771B2" w:rsidRPr="00AE453D" w:rsidSect="00832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A5AE" w14:textId="77777777" w:rsidR="00880C18" w:rsidRDefault="00880C18" w:rsidP="005670C8">
      <w:r>
        <w:separator/>
      </w:r>
    </w:p>
  </w:endnote>
  <w:endnote w:type="continuationSeparator" w:id="0">
    <w:p w14:paraId="4CFD4430" w14:textId="77777777" w:rsidR="00880C18" w:rsidRDefault="00880C18" w:rsidP="0056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5AA1" w14:textId="77777777" w:rsidR="00880C18" w:rsidRDefault="00880C18" w:rsidP="005670C8">
      <w:r>
        <w:separator/>
      </w:r>
    </w:p>
  </w:footnote>
  <w:footnote w:type="continuationSeparator" w:id="0">
    <w:p w14:paraId="3E4AD8AA" w14:textId="77777777" w:rsidR="00880C18" w:rsidRDefault="00880C18" w:rsidP="0056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8CC9" w14:textId="30AD4007" w:rsidR="005670C8" w:rsidRPr="001E0426" w:rsidRDefault="001E0426" w:rsidP="001E0426">
    <w:pPr>
      <w:pStyle w:val="Header"/>
      <w:tabs>
        <w:tab w:val="clear" w:pos="4680"/>
      </w:tabs>
      <w:rPr>
        <w:rFonts w:ascii="Arial" w:hAnsi="Arial" w:cs="Arial"/>
        <w:b/>
        <w:color w:val="000000" w:themeColor="text1"/>
        <w:szCs w:val="20"/>
      </w:rPr>
    </w:pPr>
    <w:r>
      <w:rPr>
        <w:rFonts w:ascii="Arial" w:hAnsi="Arial" w:cs="Arial"/>
        <w:b/>
        <w:color w:val="000000" w:themeColor="text1"/>
        <w:sz w:val="28"/>
        <w:szCs w:val="28"/>
      </w:rPr>
      <w:t>Collaborator FA</w:t>
    </w:r>
    <w:r w:rsidR="005670C8" w:rsidRPr="001E0426">
      <w:rPr>
        <w:rFonts w:ascii="Arial" w:hAnsi="Arial" w:cs="Arial"/>
        <w:b/>
        <w:color w:val="000000" w:themeColor="text1"/>
        <w:sz w:val="28"/>
        <w:szCs w:val="28"/>
      </w:rPr>
      <w:t>Q</w:t>
    </w:r>
    <w:r w:rsidR="007E646A">
      <w:rPr>
        <w:rFonts w:ascii="Arial" w:hAnsi="Arial" w:cs="Arial"/>
        <w:b/>
        <w:color w:val="000000" w:themeColor="text1"/>
        <w:sz w:val="28"/>
        <w:szCs w:val="28"/>
      </w:rPr>
      <w:t>s</w:t>
    </w:r>
    <w:r>
      <w:rPr>
        <w:rFonts w:ascii="Arial" w:hAnsi="Arial" w:cs="Arial"/>
        <w:b/>
        <w:color w:val="000000" w:themeColor="text1"/>
        <w:sz w:val="28"/>
        <w:szCs w:val="28"/>
      </w:rPr>
      <w:tab/>
    </w:r>
    <w:r w:rsidRPr="001E0426">
      <w:rPr>
        <w:rFonts w:ascii="Arial" w:hAnsi="Arial" w:cs="Arial"/>
        <w:color w:val="000000" w:themeColor="text1"/>
        <w:szCs w:val="20"/>
      </w:rPr>
      <w:t>NCI Formulary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06D"/>
    <w:multiLevelType w:val="hybridMultilevel"/>
    <w:tmpl w:val="EA4A9AE0"/>
    <w:lvl w:ilvl="0" w:tplc="F1C84DB8">
      <w:start w:val="1"/>
      <w:numFmt w:val="bullet"/>
      <w:pStyle w:val="ListParagraph"/>
      <w:lvlText w:val=""/>
      <w:lvlJc w:val="left"/>
      <w:pPr>
        <w:ind w:left="360" w:hanging="288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5D07A47"/>
    <w:multiLevelType w:val="multilevel"/>
    <w:tmpl w:val="F71C9BA8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B6D649F"/>
    <w:multiLevelType w:val="multilevel"/>
    <w:tmpl w:val="FCF843D8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F887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0"/>
    <w:rsid w:val="0000008D"/>
    <w:rsid w:val="000037AB"/>
    <w:rsid w:val="00005376"/>
    <w:rsid w:val="00007267"/>
    <w:rsid w:val="0002488D"/>
    <w:rsid w:val="000368EC"/>
    <w:rsid w:val="00044667"/>
    <w:rsid w:val="00066CCF"/>
    <w:rsid w:val="00094092"/>
    <w:rsid w:val="00097854"/>
    <w:rsid w:val="000B085B"/>
    <w:rsid w:val="000B3E31"/>
    <w:rsid w:val="000C4F27"/>
    <w:rsid w:val="000C53EB"/>
    <w:rsid w:val="000E018E"/>
    <w:rsid w:val="000F1961"/>
    <w:rsid w:val="000F3733"/>
    <w:rsid w:val="000F7396"/>
    <w:rsid w:val="00100CE0"/>
    <w:rsid w:val="001112C1"/>
    <w:rsid w:val="00122504"/>
    <w:rsid w:val="00144FBB"/>
    <w:rsid w:val="00147977"/>
    <w:rsid w:val="00172CED"/>
    <w:rsid w:val="0018458A"/>
    <w:rsid w:val="001B005E"/>
    <w:rsid w:val="001B72C1"/>
    <w:rsid w:val="001B772A"/>
    <w:rsid w:val="001C2268"/>
    <w:rsid w:val="001C2833"/>
    <w:rsid w:val="001D56C1"/>
    <w:rsid w:val="001E0426"/>
    <w:rsid w:val="001E1AC6"/>
    <w:rsid w:val="00203F76"/>
    <w:rsid w:val="00225C8C"/>
    <w:rsid w:val="00231380"/>
    <w:rsid w:val="00241EF2"/>
    <w:rsid w:val="00252131"/>
    <w:rsid w:val="0025587B"/>
    <w:rsid w:val="00262E87"/>
    <w:rsid w:val="00274CB8"/>
    <w:rsid w:val="00284BC1"/>
    <w:rsid w:val="00295BDE"/>
    <w:rsid w:val="002A15FF"/>
    <w:rsid w:val="002B7E7F"/>
    <w:rsid w:val="002C08E1"/>
    <w:rsid w:val="002C366E"/>
    <w:rsid w:val="002C737D"/>
    <w:rsid w:val="002C7836"/>
    <w:rsid w:val="002E382F"/>
    <w:rsid w:val="002E60AF"/>
    <w:rsid w:val="002F03C8"/>
    <w:rsid w:val="002F2E8C"/>
    <w:rsid w:val="003141B6"/>
    <w:rsid w:val="00315CF4"/>
    <w:rsid w:val="00324120"/>
    <w:rsid w:val="00325C87"/>
    <w:rsid w:val="003260A7"/>
    <w:rsid w:val="003608F8"/>
    <w:rsid w:val="003619EF"/>
    <w:rsid w:val="00363228"/>
    <w:rsid w:val="00364259"/>
    <w:rsid w:val="003663D0"/>
    <w:rsid w:val="003928CC"/>
    <w:rsid w:val="00392B6B"/>
    <w:rsid w:val="003A20DD"/>
    <w:rsid w:val="003A27C2"/>
    <w:rsid w:val="003B1837"/>
    <w:rsid w:val="003C5A4C"/>
    <w:rsid w:val="003D0BBF"/>
    <w:rsid w:val="004241C1"/>
    <w:rsid w:val="004403FD"/>
    <w:rsid w:val="00442EC4"/>
    <w:rsid w:val="004479B7"/>
    <w:rsid w:val="00470E84"/>
    <w:rsid w:val="00471FE1"/>
    <w:rsid w:val="00481CC9"/>
    <w:rsid w:val="004829F9"/>
    <w:rsid w:val="004856F6"/>
    <w:rsid w:val="00485EB8"/>
    <w:rsid w:val="004953F2"/>
    <w:rsid w:val="004A37BB"/>
    <w:rsid w:val="004A498B"/>
    <w:rsid w:val="004A4BBE"/>
    <w:rsid w:val="004C0D7F"/>
    <w:rsid w:val="004C23E7"/>
    <w:rsid w:val="004D16FB"/>
    <w:rsid w:val="004E03FC"/>
    <w:rsid w:val="00500566"/>
    <w:rsid w:val="00507464"/>
    <w:rsid w:val="00517781"/>
    <w:rsid w:val="00530337"/>
    <w:rsid w:val="00530993"/>
    <w:rsid w:val="00531B1D"/>
    <w:rsid w:val="005670C8"/>
    <w:rsid w:val="00590DD4"/>
    <w:rsid w:val="0059240C"/>
    <w:rsid w:val="005945EF"/>
    <w:rsid w:val="005A09FA"/>
    <w:rsid w:val="005C1943"/>
    <w:rsid w:val="005C2742"/>
    <w:rsid w:val="005D3B54"/>
    <w:rsid w:val="005D7B9B"/>
    <w:rsid w:val="005E09D5"/>
    <w:rsid w:val="005F7607"/>
    <w:rsid w:val="00605CB4"/>
    <w:rsid w:val="00606042"/>
    <w:rsid w:val="00623DD0"/>
    <w:rsid w:val="006250AF"/>
    <w:rsid w:val="00635C7E"/>
    <w:rsid w:val="0064500C"/>
    <w:rsid w:val="00660988"/>
    <w:rsid w:val="00666329"/>
    <w:rsid w:val="006C16DC"/>
    <w:rsid w:val="006E276C"/>
    <w:rsid w:val="006F5A50"/>
    <w:rsid w:val="006F5BC7"/>
    <w:rsid w:val="00702E06"/>
    <w:rsid w:val="00716130"/>
    <w:rsid w:val="00717150"/>
    <w:rsid w:val="007207F8"/>
    <w:rsid w:val="007231A9"/>
    <w:rsid w:val="0072773B"/>
    <w:rsid w:val="00734CF5"/>
    <w:rsid w:val="00740DD5"/>
    <w:rsid w:val="00741523"/>
    <w:rsid w:val="007435B4"/>
    <w:rsid w:val="0074719C"/>
    <w:rsid w:val="00757FDF"/>
    <w:rsid w:val="00773C2C"/>
    <w:rsid w:val="00774316"/>
    <w:rsid w:val="0077653D"/>
    <w:rsid w:val="00786D30"/>
    <w:rsid w:val="00796087"/>
    <w:rsid w:val="007A127E"/>
    <w:rsid w:val="007A18B4"/>
    <w:rsid w:val="007C2A01"/>
    <w:rsid w:val="007E646A"/>
    <w:rsid w:val="007F053A"/>
    <w:rsid w:val="007F1578"/>
    <w:rsid w:val="007F197A"/>
    <w:rsid w:val="00823610"/>
    <w:rsid w:val="00823F5F"/>
    <w:rsid w:val="008304A8"/>
    <w:rsid w:val="00832698"/>
    <w:rsid w:val="00834C26"/>
    <w:rsid w:val="0086395B"/>
    <w:rsid w:val="008670BB"/>
    <w:rsid w:val="00880C18"/>
    <w:rsid w:val="00897A49"/>
    <w:rsid w:val="008A33D1"/>
    <w:rsid w:val="008B3324"/>
    <w:rsid w:val="008C0C18"/>
    <w:rsid w:val="008C15D4"/>
    <w:rsid w:val="008D0144"/>
    <w:rsid w:val="008D11C8"/>
    <w:rsid w:val="008E6EED"/>
    <w:rsid w:val="008F7200"/>
    <w:rsid w:val="00914A42"/>
    <w:rsid w:val="00930CCE"/>
    <w:rsid w:val="00941294"/>
    <w:rsid w:val="0095029A"/>
    <w:rsid w:val="00950A49"/>
    <w:rsid w:val="00965D3B"/>
    <w:rsid w:val="009719A3"/>
    <w:rsid w:val="00975658"/>
    <w:rsid w:val="009758D2"/>
    <w:rsid w:val="009771B2"/>
    <w:rsid w:val="00990F32"/>
    <w:rsid w:val="009920F5"/>
    <w:rsid w:val="0099556C"/>
    <w:rsid w:val="009A6731"/>
    <w:rsid w:val="009B0B64"/>
    <w:rsid w:val="009B4380"/>
    <w:rsid w:val="009B4B63"/>
    <w:rsid w:val="009C1FEA"/>
    <w:rsid w:val="009D212E"/>
    <w:rsid w:val="009D2365"/>
    <w:rsid w:val="009D6598"/>
    <w:rsid w:val="009E0CB9"/>
    <w:rsid w:val="009E7ECB"/>
    <w:rsid w:val="00A0378A"/>
    <w:rsid w:val="00A044F5"/>
    <w:rsid w:val="00A16654"/>
    <w:rsid w:val="00A21BC4"/>
    <w:rsid w:val="00A5077A"/>
    <w:rsid w:val="00A77077"/>
    <w:rsid w:val="00A84331"/>
    <w:rsid w:val="00AB3589"/>
    <w:rsid w:val="00AC62B1"/>
    <w:rsid w:val="00AD0B3E"/>
    <w:rsid w:val="00AE1A32"/>
    <w:rsid w:val="00AE453D"/>
    <w:rsid w:val="00AF41DB"/>
    <w:rsid w:val="00B03219"/>
    <w:rsid w:val="00B045D5"/>
    <w:rsid w:val="00B069F3"/>
    <w:rsid w:val="00B2051E"/>
    <w:rsid w:val="00B30A0E"/>
    <w:rsid w:val="00B50C00"/>
    <w:rsid w:val="00B6441F"/>
    <w:rsid w:val="00B70469"/>
    <w:rsid w:val="00B72326"/>
    <w:rsid w:val="00B95B97"/>
    <w:rsid w:val="00BA47F9"/>
    <w:rsid w:val="00BB4E52"/>
    <w:rsid w:val="00BC587D"/>
    <w:rsid w:val="00BD548E"/>
    <w:rsid w:val="00BE0154"/>
    <w:rsid w:val="00BE240A"/>
    <w:rsid w:val="00BF0A50"/>
    <w:rsid w:val="00BF2211"/>
    <w:rsid w:val="00C02060"/>
    <w:rsid w:val="00C03851"/>
    <w:rsid w:val="00C06DC2"/>
    <w:rsid w:val="00C0780F"/>
    <w:rsid w:val="00C33A4D"/>
    <w:rsid w:val="00C45FED"/>
    <w:rsid w:val="00C56DCB"/>
    <w:rsid w:val="00C61FC2"/>
    <w:rsid w:val="00C671C8"/>
    <w:rsid w:val="00CA136A"/>
    <w:rsid w:val="00CA1679"/>
    <w:rsid w:val="00CA6624"/>
    <w:rsid w:val="00CB2A3D"/>
    <w:rsid w:val="00CB6537"/>
    <w:rsid w:val="00CC62ED"/>
    <w:rsid w:val="00CD140B"/>
    <w:rsid w:val="00CE64E0"/>
    <w:rsid w:val="00CE7DF2"/>
    <w:rsid w:val="00D20338"/>
    <w:rsid w:val="00D24189"/>
    <w:rsid w:val="00D3042D"/>
    <w:rsid w:val="00D42136"/>
    <w:rsid w:val="00D42DF0"/>
    <w:rsid w:val="00D568E4"/>
    <w:rsid w:val="00D569B9"/>
    <w:rsid w:val="00D722EB"/>
    <w:rsid w:val="00D93172"/>
    <w:rsid w:val="00D96766"/>
    <w:rsid w:val="00D96867"/>
    <w:rsid w:val="00DA5914"/>
    <w:rsid w:val="00DC3856"/>
    <w:rsid w:val="00DC64B3"/>
    <w:rsid w:val="00DD0598"/>
    <w:rsid w:val="00DE0E84"/>
    <w:rsid w:val="00DE4D22"/>
    <w:rsid w:val="00DF068A"/>
    <w:rsid w:val="00E0406C"/>
    <w:rsid w:val="00E05EBC"/>
    <w:rsid w:val="00E126E8"/>
    <w:rsid w:val="00E12A51"/>
    <w:rsid w:val="00E357C9"/>
    <w:rsid w:val="00E405BA"/>
    <w:rsid w:val="00E4742A"/>
    <w:rsid w:val="00E51C76"/>
    <w:rsid w:val="00E656EE"/>
    <w:rsid w:val="00E65AD2"/>
    <w:rsid w:val="00E92934"/>
    <w:rsid w:val="00E94B9D"/>
    <w:rsid w:val="00EA08AF"/>
    <w:rsid w:val="00EA0CF9"/>
    <w:rsid w:val="00EC4A2A"/>
    <w:rsid w:val="00ED134B"/>
    <w:rsid w:val="00ED161B"/>
    <w:rsid w:val="00ED7780"/>
    <w:rsid w:val="00EE4780"/>
    <w:rsid w:val="00EE7C97"/>
    <w:rsid w:val="00EF308C"/>
    <w:rsid w:val="00F05507"/>
    <w:rsid w:val="00F07221"/>
    <w:rsid w:val="00F10DB2"/>
    <w:rsid w:val="00F12BE7"/>
    <w:rsid w:val="00F31340"/>
    <w:rsid w:val="00F667E3"/>
    <w:rsid w:val="00F77C07"/>
    <w:rsid w:val="00F82718"/>
    <w:rsid w:val="00F91539"/>
    <w:rsid w:val="00FA685B"/>
    <w:rsid w:val="00FD13E4"/>
    <w:rsid w:val="00FE3CAC"/>
    <w:rsid w:val="00FE4F01"/>
    <w:rsid w:val="00FE7C10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FA04"/>
  <w14:defaultImageDpi w14:val="32767"/>
  <w15:docId w15:val="{67CD6D88-1EC1-48C6-A4F2-FD63830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548E"/>
    <w:rPr>
      <w:rFonts w:ascii="Century Gothic" w:eastAsiaTheme="minorEastAsia" w:hAnsi="Century Gothic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548E"/>
    <w:pPr>
      <w:keepNext/>
      <w:keepLines/>
      <w:spacing w:before="480"/>
      <w:outlineLvl w:val="0"/>
    </w:pPr>
    <w:rPr>
      <w:rFonts w:eastAsiaTheme="majorEastAsia" w:cstheme="majorBidi"/>
      <w:b/>
      <w:bCs/>
      <w:color w:val="2C6EAB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548E"/>
    <w:pPr>
      <w:spacing w:before="80"/>
      <w:outlineLvl w:val="1"/>
    </w:pPr>
    <w:rPr>
      <w:rFonts w:eastAsiaTheme="minorHAnsi"/>
      <w:b/>
      <w:color w:val="00FDFF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4B9D"/>
    <w:pPr>
      <w:keepNext/>
      <w:keepLines/>
      <w:spacing w:before="40" w:after="40"/>
      <w:outlineLvl w:val="2"/>
    </w:pPr>
    <w:rPr>
      <w:rFonts w:eastAsiaTheme="majorEastAsia" w:cstheme="majorBidi"/>
      <w:color w:val="0096FF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1B1D"/>
    <w:pPr>
      <w:spacing w:before="300"/>
      <w:outlineLvl w:val="3"/>
    </w:pPr>
    <w:rPr>
      <w:rFonts w:eastAsiaTheme="minorHAnsi"/>
      <w:color w:val="2E74B5" w:themeColor="accent1" w:themeShade="BF"/>
      <w:spacing w:val="10"/>
      <w:sz w:val="24"/>
      <w:u w:val="single" w:color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11C8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15CF4"/>
    <w:rPr>
      <w:i/>
      <w:iCs/>
      <w:color w:val="2E74B5" w:themeColor="accent1" w:themeShade="BF"/>
    </w:rPr>
  </w:style>
  <w:style w:type="character" w:styleId="IntenseEmphasis">
    <w:name w:val="Intense Emphasis"/>
    <w:uiPriority w:val="21"/>
    <w:qFormat/>
    <w:rsid w:val="00796087"/>
    <w:rPr>
      <w:b/>
      <w:bCs/>
      <w:caps/>
      <w:color w:val="2E74B5" w:themeColor="accent1" w:themeShade="BF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4B9D"/>
    <w:rPr>
      <w:rFonts w:ascii="Century Gothic" w:eastAsiaTheme="majorEastAsia" w:hAnsi="Century Gothic" w:cstheme="majorBidi"/>
      <w:color w:val="0096FF"/>
      <w:sz w:val="22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95029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029A"/>
    <w:rPr>
      <w:rFonts w:ascii="Century Gothic" w:hAnsi="Century Gothic"/>
      <w:sz w:val="18"/>
      <w:szCs w:val="20"/>
    </w:rPr>
  </w:style>
  <w:style w:type="paragraph" w:styleId="ListParagraph">
    <w:name w:val="List Paragraph"/>
    <w:basedOn w:val="Normal"/>
    <w:autoRedefine/>
    <w:uiPriority w:val="34"/>
    <w:qFormat/>
    <w:rsid w:val="004A4BBE"/>
    <w:pPr>
      <w:numPr>
        <w:numId w:val="2"/>
      </w:numPr>
      <w:contextualSpacing/>
    </w:pPr>
    <w:rPr>
      <w:rFonts w:eastAsiaTheme="minorHAnsi"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1B1D"/>
    <w:rPr>
      <w:rFonts w:ascii="Century Gothic" w:hAnsi="Century Gothic"/>
      <w:color w:val="2E74B5" w:themeColor="accent1" w:themeShade="BF"/>
      <w:spacing w:val="10"/>
      <w:u w:val="single" w:color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BD548E"/>
    <w:rPr>
      <w:rFonts w:ascii="Century Gothic" w:eastAsiaTheme="majorEastAsia" w:hAnsi="Century Gothic" w:cstheme="majorBidi"/>
      <w:b/>
      <w:bCs/>
      <w:color w:val="2C6EAB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48E"/>
    <w:rPr>
      <w:rFonts w:ascii="Century Gothic" w:hAnsi="Century Gothic"/>
      <w:b/>
      <w:color w:val="00FDFF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087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087"/>
    <w:rPr>
      <w:rFonts w:ascii="Century Gothic" w:eastAsiaTheme="majorEastAsia" w:hAnsi="Century Gothic" w:cstheme="majorBidi"/>
      <w:spacing w:val="-10"/>
      <w:kern w:val="28"/>
      <w:sz w:val="44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D11C8"/>
    <w:rPr>
      <w:rFonts w:ascii="Century Gothic" w:eastAsiaTheme="majorEastAsia" w:hAnsi="Century Gothic" w:cstheme="majorBidi"/>
      <w:color w:val="2E74B5" w:themeColor="accent1" w:themeShade="BF"/>
      <w:sz w:val="20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D11C8"/>
    <w:pPr>
      <w:numPr>
        <w:ilvl w:val="1"/>
      </w:numPr>
      <w:spacing w:after="40"/>
    </w:pPr>
    <w:rPr>
      <w:i/>
      <w:color w:val="808080" w:themeColor="background1" w:themeShade="80"/>
      <w:sz w:val="1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11C8"/>
    <w:rPr>
      <w:rFonts w:ascii="Century Gothic" w:eastAsiaTheme="minorEastAsia" w:hAnsi="Century Gothic"/>
      <w:i/>
      <w:color w:val="808080" w:themeColor="background1" w:themeShade="80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567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C8"/>
    <w:rPr>
      <w:rFonts w:ascii="Century Gothic" w:eastAsiaTheme="minorEastAsia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Howells, Rodney (NIH/NCI) [E]</cp:lastModifiedBy>
  <cp:revision>3</cp:revision>
  <cp:lastPrinted>2016-12-08T19:23:00Z</cp:lastPrinted>
  <dcterms:created xsi:type="dcterms:W3CDTF">2016-12-14T21:31:00Z</dcterms:created>
  <dcterms:modified xsi:type="dcterms:W3CDTF">2017-01-06T00:20:00Z</dcterms:modified>
</cp:coreProperties>
</file>